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43420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2E7D6684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3CDC1AFA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03FC767A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6D6DBEF3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5E814A80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79EA2EBB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165F9097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61DE74A2">
      <w:pPr>
        <w:pStyle w:val="38"/>
        <w:wordWrap w:val="0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白景坤,王鲲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,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单宇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.传统零售企业数字化转型过程中如何打破惰性掣肘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16"/>
          <w:szCs w:val="16"/>
          <w:shd w:val="clear" w:fill="FFFFFF"/>
        </w:rPr>
        <w:t>——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基于美特好和永辉的双案例研究[J].北京:经济管理,2025,(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):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125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-1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</w:t>
      </w:r>
    </w:p>
    <w:p w14:paraId="3BE9FE42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54CACB8F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数据集（及程序代码等附件）来自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白景坤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王鲲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单宇</w:t>
      </w:r>
      <w:r>
        <w:rPr>
          <w:rFonts w:ascii="Times New Roman" w:hAnsi="Times New Roman" w:cs="Times New Roman"/>
          <w:color w:val="auto"/>
          <w:sz w:val="21"/>
          <w:szCs w:val="21"/>
        </w:rPr>
        <w:t>（2025），参见在《经济管理》网站（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"https://jjgl.ajcass.com" </w:instrText>
      </w:r>
      <w:r>
        <w:rPr>
          <w:color w:val="auto"/>
        </w:rPr>
        <w:fldChar w:fldCharType="separate"/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04812FB5"/>
    <w:rsid w:val="07F26A2E"/>
    <w:rsid w:val="3FA27361"/>
    <w:rsid w:val="43DE3DB3"/>
    <w:rsid w:val="60812476"/>
    <w:rsid w:val="6897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  <w:style w:type="character" w:customStyle="1" w:styleId="51">
    <w:name w:val="js_darkmode__49"/>
    <w:basedOn w:val="1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473</Words>
  <Characters>549</Characters>
  <Lines>4</Lines>
  <Paragraphs>1</Paragraphs>
  <TotalTime>0</TotalTime>
  <ScaleCrop>false</ScaleCrop>
  <LinksUpToDate>false</LinksUpToDate>
  <CharactersWithSpaces>549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fx</cp:lastModifiedBy>
  <dcterms:modified xsi:type="dcterms:W3CDTF">2025-07-21T00:05:10Z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eyJoZGlkIjoiZDk4NTI0MjJjMjA3MWQzMzAxNzZkMzA1MjEwMTgzNTUiLCJ1c2VySWQiOiIyNDA2MjA0MjcifQ==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24DB565A3F754121A8CCEFB920CE73B3_12</vt:lpwstr>
  </property>
</Properties>
</file>